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4FB9" w14:textId="77777777" w:rsidR="00C63635" w:rsidRPr="00C63635" w:rsidRDefault="00C63635" w:rsidP="00C63635">
      <w:pPr>
        <w:shd w:val="clear" w:color="auto" w:fill="FFFFFF"/>
        <w:outlineLvl w:val="0"/>
        <w:rPr>
          <w:rFonts w:ascii="Lato" w:eastAsia="Times New Roman" w:hAnsi="Lato" w:cs="Times New Roman"/>
          <w:color w:val="CC3300"/>
          <w:kern w:val="36"/>
          <w:sz w:val="36"/>
          <w:szCs w:val="36"/>
          <w:lang w:eastAsia="fr-FR"/>
        </w:rPr>
      </w:pPr>
      <w:r w:rsidRPr="00C63635">
        <w:rPr>
          <w:rFonts w:ascii="Lato" w:eastAsia="Times New Roman" w:hAnsi="Lato" w:cs="Times New Roman"/>
          <w:color w:val="CC3300"/>
          <w:kern w:val="36"/>
          <w:sz w:val="36"/>
          <w:szCs w:val="36"/>
          <w:lang w:eastAsia="fr-FR"/>
        </w:rPr>
        <w:t>Le cuivre perd du terrain face au dollar</w:t>
      </w:r>
    </w:p>
    <w:p w14:paraId="4B20DE11" w14:textId="77777777" w:rsidR="00C63635" w:rsidRDefault="00C63635" w:rsidP="00C63635">
      <w:pPr>
        <w:shd w:val="clear" w:color="auto" w:fill="FFFFFF"/>
        <w:spacing w:before="75" w:after="75"/>
        <w:jc w:val="both"/>
        <w:rPr>
          <w:rFonts w:ascii="Lato" w:eastAsia="Times New Roman" w:hAnsi="Lato" w:cs="Times New Roman"/>
          <w:i/>
          <w:iCs/>
          <w:color w:val="000000"/>
          <w:sz w:val="23"/>
          <w:szCs w:val="23"/>
          <w:lang w:eastAsia="fr-FR"/>
        </w:rPr>
      </w:pPr>
    </w:p>
    <w:p w14:paraId="458320AB" w14:textId="51231D1E"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Le cours du </w:t>
      </w:r>
      <w:r w:rsidRPr="00C63635">
        <w:rPr>
          <w:rFonts w:ascii="Lato" w:eastAsia="Times New Roman" w:hAnsi="Lato" w:cs="Times New Roman"/>
          <w:color w:val="000000"/>
          <w:sz w:val="23"/>
          <w:szCs w:val="23"/>
          <w:u w:val="single"/>
          <w:lang w:eastAsia="fr-FR"/>
        </w:rPr>
        <w:t>cuivre</w:t>
      </w:r>
      <w:r w:rsidRPr="00C63635">
        <w:rPr>
          <w:rFonts w:ascii="Lato" w:eastAsia="Times New Roman" w:hAnsi="Lato" w:cs="Times New Roman"/>
          <w:color w:val="000000"/>
          <w:sz w:val="23"/>
          <w:szCs w:val="23"/>
          <w:lang w:eastAsia="fr-FR"/>
        </w:rPr>
        <w:t> décline tandis que le billet vert s’affermit et rend les métaux libellés en dollar plus onéreux pour les détenteurs d’autres métaux.</w:t>
      </w:r>
    </w:p>
    <w:p w14:paraId="52890ECC" w14:textId="77777777"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A Londres, le </w:t>
      </w:r>
      <w:r w:rsidRPr="00C63635">
        <w:rPr>
          <w:rFonts w:ascii="Lato" w:eastAsia="Times New Roman" w:hAnsi="Lato" w:cs="Times New Roman"/>
          <w:color w:val="000000"/>
          <w:sz w:val="23"/>
          <w:szCs w:val="23"/>
          <w:u w:val="single"/>
          <w:lang w:eastAsia="fr-FR"/>
        </w:rPr>
        <w:t>cuivre</w:t>
      </w:r>
      <w:r w:rsidRPr="00C63635">
        <w:rPr>
          <w:rFonts w:ascii="Lato" w:eastAsia="Times New Roman" w:hAnsi="Lato" w:cs="Times New Roman"/>
          <w:color w:val="000000"/>
          <w:sz w:val="23"/>
          <w:szCs w:val="23"/>
          <w:lang w:eastAsia="fr-FR"/>
        </w:rPr>
        <w:t xml:space="preserve"> pour livraison à trois mois abandonne 0,3 % à 8.955 $/t. Sur le </w:t>
      </w:r>
      <w:proofErr w:type="spellStart"/>
      <w:r w:rsidRPr="00C63635">
        <w:rPr>
          <w:rFonts w:ascii="Lato" w:eastAsia="Times New Roman" w:hAnsi="Lato" w:cs="Times New Roman"/>
          <w:color w:val="000000"/>
          <w:sz w:val="23"/>
          <w:szCs w:val="23"/>
          <w:lang w:eastAsia="fr-FR"/>
        </w:rPr>
        <w:t>ShFE</w:t>
      </w:r>
      <w:proofErr w:type="spellEnd"/>
      <w:r w:rsidRPr="00C63635">
        <w:rPr>
          <w:rFonts w:ascii="Lato" w:eastAsia="Times New Roman" w:hAnsi="Lato" w:cs="Times New Roman"/>
          <w:color w:val="000000"/>
          <w:sz w:val="23"/>
          <w:szCs w:val="23"/>
          <w:lang w:eastAsia="fr-FR"/>
        </w:rPr>
        <w:t>, le contrat le plus échangé (échéance mars) perd 0,9 % à 68.220 yuan/t (10,060.69 $).</w:t>
      </w:r>
    </w:p>
    <w:p w14:paraId="6F09774E" w14:textId="77777777"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Le dollar atteint un pic de 4 semaines après la publication de données américaines sur l’emploi. La nature de ces données devrait encourager la Fed à continuer de mener une politique monétaire stricte.</w:t>
      </w:r>
    </w:p>
    <w:p w14:paraId="5932EB50" w14:textId="77777777"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Les cours des métaux sont également influencés par les nombreux doutes qui entourent la reprise économique chinoise après le retrait des mesures anti-Covid. Jusqu’ici, les métaux ont bénéficié des espoirs de reprise, mais le doute se répand.</w:t>
      </w:r>
    </w:p>
    <w:p w14:paraId="117A3F32" w14:textId="77777777"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Les perturbations sur la chaîne de production ont néanmoins permis d’éviter des chutes conséquentes de prix. C’est principalement en Amérique latine et en Afrique que les perturbations ont lieu (mouvement de protestation contre le gouvernement au Pérou, litige entre First Quantum et le gouvernement canadien au sujet d’impôts et litige financier également au Congo). </w:t>
      </w:r>
    </w:p>
    <w:p w14:paraId="19D7208E" w14:textId="77777777" w:rsidR="00C63635" w:rsidRPr="00C63635" w:rsidRDefault="00C63635" w:rsidP="00C63635">
      <w:pPr>
        <w:shd w:val="clear" w:color="auto" w:fill="FFFFFF"/>
        <w:spacing w:before="75" w:after="75"/>
        <w:jc w:val="both"/>
        <w:rPr>
          <w:rFonts w:ascii="Lato" w:eastAsia="Times New Roman" w:hAnsi="Lato" w:cs="Times New Roman"/>
          <w:color w:val="000000"/>
          <w:sz w:val="23"/>
          <w:szCs w:val="23"/>
          <w:lang w:eastAsia="fr-FR"/>
        </w:rPr>
      </w:pPr>
      <w:r w:rsidRPr="00C63635">
        <w:rPr>
          <w:rFonts w:ascii="Lato" w:eastAsia="Times New Roman" w:hAnsi="Lato" w:cs="Times New Roman"/>
          <w:color w:val="000000"/>
          <w:sz w:val="23"/>
          <w:szCs w:val="23"/>
          <w:lang w:eastAsia="fr-FR"/>
        </w:rPr>
        <w:t>Selon les analystes, il est encore trop tôt pour estimer un ralentissement de la production à l’échelle mondiale.</w:t>
      </w:r>
    </w:p>
    <w:p w14:paraId="5C59DE49"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35"/>
    <w:rsid w:val="000F156F"/>
    <w:rsid w:val="00C63635"/>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B0A6A3E"/>
  <w15:chartTrackingRefBased/>
  <w15:docId w15:val="{5D426FA1-2789-E146-9139-056AA06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6363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635"/>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C6363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63635"/>
    <w:rPr>
      <w:color w:val="0000FF"/>
      <w:u w:val="single"/>
    </w:rPr>
  </w:style>
  <w:style w:type="paragraph" w:styleId="NormalWeb">
    <w:name w:val="Normal (Web)"/>
    <w:basedOn w:val="Normal"/>
    <w:uiPriority w:val="99"/>
    <w:semiHidden/>
    <w:unhideWhenUsed/>
    <w:rsid w:val="00C6363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1099</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2023-02-06T07:38:00Z</dcterms:created>
  <dcterms:modified xsi:type="dcterms:W3CDTF">2023-02-06T07:39:00Z</dcterms:modified>
</cp:coreProperties>
</file>